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A1" w:rsidRDefault="001F18A1">
      <w:pPr>
        <w:pStyle w:val="GvdeMetni"/>
        <w:spacing w:before="10"/>
        <w:ind w:left="0"/>
        <w:rPr>
          <w:rFonts w:ascii="Times New Roman"/>
          <w:sz w:val="17"/>
        </w:rPr>
      </w:pPr>
    </w:p>
    <w:p w:rsidR="001F18A1" w:rsidRDefault="00D829B7">
      <w:pPr>
        <w:pStyle w:val="Balk1"/>
        <w:ind w:left="2680"/>
      </w:pPr>
      <w:r>
        <w:t>1.)</w:t>
      </w:r>
      <w:r>
        <w:rPr>
          <w:spacing w:val="1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Accredited</w:t>
      </w:r>
      <w:r>
        <w:rPr>
          <w:spacing w:val="-3"/>
        </w:rPr>
        <w:t xml:space="preserve"> </w:t>
      </w:r>
      <w:r w:rsidR="008471B1">
        <w:t>Organizations</w:t>
      </w:r>
    </w:p>
    <w:p w:rsidR="001F18A1" w:rsidRDefault="00D829B7">
      <w:pPr>
        <w:pStyle w:val="GvdeMetni"/>
        <w:spacing w:before="185" w:line="256" w:lineRule="auto"/>
        <w:ind w:right="147"/>
      </w:pPr>
      <w:r>
        <w:t xml:space="preserve">1.1-) All references to accredited </w:t>
      </w:r>
      <w:r w:rsidR="008471B1">
        <w:t>organizations</w:t>
      </w:r>
      <w:r>
        <w:t xml:space="preserve"> shall also, if applicable, apply to all key personnel</w:t>
      </w:r>
      <w:r>
        <w:rPr>
          <w:spacing w:val="1"/>
        </w:rPr>
        <w:t xml:space="preserve"> </w:t>
      </w:r>
      <w:r>
        <w:t xml:space="preserve">within the </w:t>
      </w:r>
      <w:r w:rsidR="008471B1">
        <w:t>organization</w:t>
      </w:r>
      <w:r>
        <w:t xml:space="preserve"> (such as but not limited to key management or managerial staff, key decision</w:t>
      </w:r>
      <w:r>
        <w:rPr>
          <w:spacing w:val="-47"/>
        </w:rPr>
        <w:t xml:space="preserve"> </w:t>
      </w:r>
      <w:r>
        <w:t>makers,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representatives,</w:t>
      </w:r>
      <w:r>
        <w:rPr>
          <w:spacing w:val="-2"/>
        </w:rPr>
        <w:t xml:space="preserve"> </w:t>
      </w:r>
      <w:r>
        <w:t>or approved</w:t>
      </w:r>
      <w:r>
        <w:rPr>
          <w:spacing w:val="-2"/>
        </w:rPr>
        <w:t xml:space="preserve"> </w:t>
      </w:r>
      <w:r>
        <w:t>signatories).</w:t>
      </w:r>
    </w:p>
    <w:p w:rsidR="001F18A1" w:rsidRDefault="00D829B7">
      <w:pPr>
        <w:pStyle w:val="GvdeMetni"/>
        <w:spacing w:before="165"/>
      </w:pPr>
      <w:r>
        <w:t>1.2-)</w:t>
      </w:r>
      <w:r>
        <w:rPr>
          <w:spacing w:val="-2"/>
        </w:rPr>
        <w:t xml:space="preserve"> </w:t>
      </w:r>
      <w:proofErr w:type="gramStart"/>
      <w:r>
        <w:t>Accredited</w:t>
      </w:r>
      <w:proofErr w:type="gramEnd"/>
      <w:r>
        <w:rPr>
          <w:spacing w:val="-2"/>
        </w:rPr>
        <w:t xml:space="preserve"> </w:t>
      </w:r>
      <w:r w:rsidR="008471B1">
        <w:t>organizations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conditions:</w:t>
      </w:r>
    </w:p>
    <w:p w:rsidR="001F18A1" w:rsidRDefault="00D829B7" w:rsidP="008A497F">
      <w:pPr>
        <w:pStyle w:val="ListeParagraf"/>
        <w:numPr>
          <w:ilvl w:val="0"/>
          <w:numId w:val="6"/>
        </w:numPr>
        <w:tabs>
          <w:tab w:val="left" w:pos="407"/>
        </w:tabs>
        <w:spacing w:before="184" w:line="259" w:lineRule="auto"/>
        <w:ind w:right="110"/>
      </w:pPr>
      <w:r>
        <w:t>Offer a standard of</w:t>
      </w:r>
      <w:r w:rsidR="00115C13">
        <w:t xml:space="preserve"> service consistent with the </w:t>
      </w:r>
      <w:r w:rsidR="00A93EF3">
        <w:t>IRNAC</w:t>
      </w:r>
      <w:r w:rsidR="00A93EF3">
        <w:t xml:space="preserve"> </w:t>
      </w:r>
      <w:r>
        <w:t>terms and conditions as may be varied, revised</w:t>
      </w:r>
      <w:r>
        <w:rPr>
          <w:spacing w:val="-47"/>
        </w:rPr>
        <w:t xml:space="preserve"> </w:t>
      </w:r>
      <w:r>
        <w:t xml:space="preserve">or amended by </w:t>
      </w:r>
      <w:r w:rsidR="00A93EF3">
        <w:t>IRNAC</w:t>
      </w:r>
      <w:r w:rsidR="00A93EF3">
        <w:t xml:space="preserve"> </w:t>
      </w:r>
      <w:r>
        <w:t>from time to time and maintain impartiality and integrity in all operations at all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times;</w:t>
      </w:r>
    </w:p>
    <w:p w:rsidR="001F18A1" w:rsidRDefault="00D829B7" w:rsidP="008A497F">
      <w:pPr>
        <w:pStyle w:val="ListeParagraf"/>
        <w:numPr>
          <w:ilvl w:val="0"/>
          <w:numId w:val="6"/>
        </w:numPr>
        <w:tabs>
          <w:tab w:val="left" w:pos="416"/>
        </w:tabs>
        <w:spacing w:before="157"/>
      </w:pPr>
      <w:r>
        <w:t>Immediately</w:t>
      </w:r>
      <w:r>
        <w:rPr>
          <w:spacing w:val="-3"/>
        </w:rPr>
        <w:t xml:space="preserve"> </w:t>
      </w:r>
      <w:r>
        <w:t>notify</w:t>
      </w:r>
      <w:r w:rsidR="00A93EF3">
        <w:t xml:space="preserve"> </w:t>
      </w:r>
      <w:r w:rsidR="00A93EF3">
        <w:t>IRNAC</w:t>
      </w:r>
      <w:r>
        <w:t>,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following:</w:t>
      </w:r>
    </w:p>
    <w:p w:rsidR="001F18A1" w:rsidRDefault="00D829B7">
      <w:pPr>
        <w:pStyle w:val="ListeParagraf"/>
        <w:numPr>
          <w:ilvl w:val="1"/>
          <w:numId w:val="6"/>
        </w:numPr>
        <w:tabs>
          <w:tab w:val="left" w:pos="1060"/>
        </w:tabs>
        <w:spacing w:before="182"/>
        <w:ind w:hanging="236"/>
      </w:pPr>
      <w:r>
        <w:t>any</w:t>
      </w:r>
      <w:r>
        <w:rPr>
          <w:spacing w:val="-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legal, commercial,</w:t>
      </w:r>
      <w:r>
        <w:rPr>
          <w:spacing w:val="-3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 w:rsidR="008471B1">
        <w:t>organizational</w:t>
      </w:r>
      <w:r>
        <w:t xml:space="preserve"> status;</w:t>
      </w:r>
    </w:p>
    <w:p w:rsidR="001F18A1" w:rsidRDefault="00D829B7">
      <w:pPr>
        <w:pStyle w:val="ListeParagraf"/>
        <w:numPr>
          <w:ilvl w:val="1"/>
          <w:numId w:val="6"/>
        </w:numPr>
        <w:tabs>
          <w:tab w:val="left" w:pos="1110"/>
        </w:tabs>
        <w:spacing w:before="183" w:line="259" w:lineRule="auto"/>
        <w:ind w:left="824" w:right="110" w:firstLine="0"/>
      </w:pPr>
      <w:r>
        <w:t xml:space="preserve">any changes in </w:t>
      </w:r>
      <w:r w:rsidR="008471B1">
        <w:t>organization</w:t>
      </w:r>
      <w:r>
        <w:t>, top management or key personnel (such as but not limited to</w:t>
      </w:r>
      <w:r>
        <w:rPr>
          <w:spacing w:val="-47"/>
        </w:rPr>
        <w:t xml:space="preserve"> </w:t>
      </w:r>
      <w:r>
        <w:t>key management or managerial staff, key office-holders, management representatives, or</w:t>
      </w:r>
      <w:r>
        <w:rPr>
          <w:spacing w:val="1"/>
        </w:rPr>
        <w:t xml:space="preserve"> </w:t>
      </w:r>
      <w:r>
        <w:t>approved signatories) who could affect the performance or competence of the accredited</w:t>
      </w:r>
      <w:r>
        <w:rPr>
          <w:spacing w:val="1"/>
        </w:rPr>
        <w:t xml:space="preserve"> </w:t>
      </w:r>
      <w:r w:rsidR="008471B1">
        <w:t>organization</w:t>
      </w:r>
      <w:r>
        <w:t>;</w:t>
      </w:r>
    </w:p>
    <w:p w:rsidR="001F18A1" w:rsidRDefault="00D829B7">
      <w:pPr>
        <w:pStyle w:val="ListeParagraf"/>
        <w:numPr>
          <w:ilvl w:val="0"/>
          <w:numId w:val="5"/>
        </w:numPr>
        <w:tabs>
          <w:tab w:val="left" w:pos="1160"/>
        </w:tabs>
        <w:spacing w:before="157"/>
      </w:pP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premises;</w:t>
      </w:r>
    </w:p>
    <w:p w:rsidR="001F18A1" w:rsidRDefault="00D829B7">
      <w:pPr>
        <w:pStyle w:val="ListeParagraf"/>
        <w:numPr>
          <w:ilvl w:val="0"/>
          <w:numId w:val="5"/>
        </w:numPr>
        <w:tabs>
          <w:tab w:val="left" w:pos="1110"/>
        </w:tabs>
        <w:spacing w:before="181"/>
        <w:ind w:left="1109" w:hanging="286"/>
      </w:pPr>
      <w:r>
        <w:t>any</w:t>
      </w:r>
      <w:r>
        <w:rPr>
          <w:spacing w:val="-2"/>
        </w:rPr>
        <w:t xml:space="preserve"> </w:t>
      </w:r>
      <w:r>
        <w:t>lawsuit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accredited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staff;</w:t>
      </w:r>
    </w:p>
    <w:p w:rsidR="001F18A1" w:rsidRDefault="00D829B7">
      <w:pPr>
        <w:pStyle w:val="ListeParagraf"/>
        <w:numPr>
          <w:ilvl w:val="0"/>
          <w:numId w:val="5"/>
        </w:numPr>
        <w:tabs>
          <w:tab w:val="left" w:pos="1161"/>
        </w:tabs>
        <w:spacing w:before="185" w:line="254" w:lineRule="auto"/>
        <w:ind w:left="824" w:right="298" w:firstLine="0"/>
      </w:pPr>
      <w:r>
        <w:t>any conviction of any offence involving fraud or dishonesty whether in or outside of the</w:t>
      </w:r>
      <w:r>
        <w:rPr>
          <w:spacing w:val="-48"/>
        </w:rPr>
        <w:t xml:space="preserve"> </w:t>
      </w:r>
      <w:r w:rsidR="00D479AB">
        <w:t>IRAQ</w:t>
      </w:r>
      <w:r>
        <w:t>;</w:t>
      </w:r>
    </w:p>
    <w:p w:rsidR="001F18A1" w:rsidRDefault="00D829B7" w:rsidP="008A497F">
      <w:pPr>
        <w:pStyle w:val="ListeParagraf"/>
        <w:numPr>
          <w:ilvl w:val="0"/>
          <w:numId w:val="5"/>
        </w:numPr>
        <w:tabs>
          <w:tab w:val="left" w:pos="1211"/>
        </w:tabs>
        <w:spacing w:before="170" w:line="254" w:lineRule="auto"/>
        <w:ind w:right="245"/>
      </w:pPr>
      <w:r>
        <w:t xml:space="preserve">any debarment or blacklisting of the accredited </w:t>
      </w:r>
      <w:r w:rsidR="008A497F">
        <w:t>organization</w:t>
      </w:r>
      <w:r>
        <w:t xml:space="preserve"> or key personnel by </w:t>
      </w:r>
      <w:r w:rsidR="00A93EF3">
        <w:t>IRNAC</w:t>
      </w:r>
      <w:r w:rsidR="00A93EF3">
        <w:t xml:space="preserve"> </w:t>
      </w:r>
      <w:r>
        <w:t>or</w:t>
      </w:r>
      <w:r w:rsidR="00A93EF3">
        <w:t xml:space="preserve"> </w:t>
      </w:r>
      <w:r>
        <w:rPr>
          <w:spacing w:val="-47"/>
        </w:rPr>
        <w:t xml:space="preserve"> </w:t>
      </w:r>
      <w:r w:rsidR="008A497F">
        <w:rPr>
          <w:spacing w:val="-47"/>
        </w:rPr>
        <w:t xml:space="preserve"> </w:t>
      </w:r>
      <w:r>
        <w:t xml:space="preserve">any other </w:t>
      </w:r>
      <w:r w:rsidR="00A93EF3">
        <w:t>IRAQ</w:t>
      </w:r>
      <w:r>
        <w:rPr>
          <w:spacing w:val="-3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agency;</w:t>
      </w:r>
    </w:p>
    <w:p w:rsidR="001F18A1" w:rsidRDefault="00D829B7">
      <w:pPr>
        <w:pStyle w:val="GvdeMetni"/>
        <w:spacing w:before="167"/>
        <w:ind w:left="824"/>
      </w:pPr>
      <w:r>
        <w:t>(vii)</w:t>
      </w:r>
      <w:r>
        <w:rPr>
          <w:spacing w:val="-2"/>
        </w:rPr>
        <w:t xml:space="preserve"> </w:t>
      </w:r>
      <w:proofErr w:type="gramStart"/>
      <w:r>
        <w:t>any</w:t>
      </w:r>
      <w:proofErr w:type="gramEnd"/>
      <w:r>
        <w:rPr>
          <w:spacing w:val="-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scope of</w:t>
      </w:r>
      <w:r>
        <w:rPr>
          <w:spacing w:val="-3"/>
        </w:rPr>
        <w:t xml:space="preserve"> </w:t>
      </w:r>
      <w:r>
        <w:t>accreditation;</w:t>
      </w:r>
    </w:p>
    <w:p w:rsidR="001F18A1" w:rsidRDefault="00D829B7">
      <w:pPr>
        <w:pStyle w:val="ListeParagraf"/>
        <w:numPr>
          <w:ilvl w:val="0"/>
          <w:numId w:val="4"/>
        </w:numPr>
        <w:tabs>
          <w:tab w:val="left" w:pos="1155"/>
        </w:tabs>
        <w:spacing w:before="181"/>
      </w:pPr>
      <w:r>
        <w:t>any</w:t>
      </w:r>
      <w:r>
        <w:rPr>
          <w:spacing w:val="-3"/>
        </w:rPr>
        <w:t xml:space="preserve"> </w:t>
      </w:r>
      <w:r>
        <w:t>significant changes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policies;</w:t>
      </w:r>
      <w:r>
        <w:rPr>
          <w:spacing w:val="-1"/>
        </w:rPr>
        <w:t xml:space="preserve"> </w:t>
      </w:r>
      <w:r>
        <w:t>and</w:t>
      </w:r>
    </w:p>
    <w:p w:rsidR="001F18A1" w:rsidRDefault="00D829B7">
      <w:pPr>
        <w:pStyle w:val="ListeParagraf"/>
        <w:numPr>
          <w:ilvl w:val="0"/>
          <w:numId w:val="4"/>
        </w:numPr>
        <w:tabs>
          <w:tab w:val="left" w:pos="1105"/>
        </w:tabs>
        <w:spacing w:before="185" w:line="254" w:lineRule="auto"/>
        <w:ind w:left="824" w:right="779" w:firstLine="0"/>
      </w:pPr>
      <w:proofErr w:type="gramStart"/>
      <w:r>
        <w:t>any</w:t>
      </w:r>
      <w:proofErr w:type="gramEnd"/>
      <w:r>
        <w:t xml:space="preserve"> other matters that may affect the ability of the accredited </w:t>
      </w:r>
      <w:r w:rsidR="00992431">
        <w:t>organization</w:t>
      </w:r>
      <w:r>
        <w:t xml:space="preserve"> to fulfil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 accreditation.</w:t>
      </w:r>
    </w:p>
    <w:p w:rsidR="001F18A1" w:rsidRDefault="00D829B7" w:rsidP="009B55D1">
      <w:pPr>
        <w:pStyle w:val="ListeParagraf"/>
        <w:numPr>
          <w:ilvl w:val="0"/>
          <w:numId w:val="6"/>
        </w:numPr>
        <w:tabs>
          <w:tab w:val="left" w:pos="395"/>
        </w:tabs>
        <w:spacing w:before="170" w:line="256" w:lineRule="auto"/>
        <w:ind w:right="548"/>
      </w:pPr>
      <w:r>
        <w:t xml:space="preserve">Adhere to the rules for the use of the </w:t>
      </w:r>
      <w:r w:rsidR="00A93EF3">
        <w:t>IRNAC</w:t>
      </w:r>
      <w:r w:rsidR="00A93EF3">
        <w:t xml:space="preserve"> </w:t>
      </w:r>
      <w:r>
        <w:t>Accreditation Marks and reference to accreditation</w:t>
      </w:r>
      <w:r>
        <w:rPr>
          <w:spacing w:val="-47"/>
        </w:rPr>
        <w:t xml:space="preserve"> </w:t>
      </w:r>
      <w:r>
        <w:t>status as</w:t>
      </w:r>
      <w:r>
        <w:rPr>
          <w:spacing w:val="-2"/>
        </w:rPr>
        <w:t xml:space="preserve"> </w:t>
      </w:r>
      <w:r>
        <w:t>stipulated in</w:t>
      </w:r>
      <w:r>
        <w:rPr>
          <w:spacing w:val="-4"/>
        </w:rPr>
        <w:t xml:space="preserve"> </w:t>
      </w:r>
      <w:r w:rsidR="009B55D1">
        <w:t>“</w:t>
      </w:r>
      <w:r w:rsidR="00D479AB">
        <w:rPr>
          <w:b/>
        </w:rPr>
        <w:t>IRNAC</w:t>
      </w:r>
      <w:bookmarkStart w:id="0" w:name="_GoBack"/>
      <w:bookmarkEnd w:id="0"/>
      <w:r w:rsidR="009B55D1" w:rsidRPr="009B55D1">
        <w:rPr>
          <w:b/>
        </w:rPr>
        <w:t>-G</w:t>
      </w:r>
      <w:r w:rsidR="00A93EF3">
        <w:rPr>
          <w:b/>
        </w:rPr>
        <w:t>.20 Requirements for Using IRNAC</w:t>
      </w:r>
      <w:r w:rsidR="009B55D1" w:rsidRPr="009B55D1">
        <w:rPr>
          <w:b/>
        </w:rPr>
        <w:t xml:space="preserve"> Accreditation Symbol by the Accredited Bodies</w:t>
      </w:r>
      <w:r w:rsidR="009B55D1">
        <w:t>”</w:t>
      </w:r>
      <w:r>
        <w:t>;</w:t>
      </w:r>
    </w:p>
    <w:p w:rsidR="001F18A1" w:rsidRDefault="00D829B7">
      <w:pPr>
        <w:pStyle w:val="ListeParagraf"/>
        <w:numPr>
          <w:ilvl w:val="0"/>
          <w:numId w:val="6"/>
        </w:numPr>
        <w:tabs>
          <w:tab w:val="left" w:pos="416"/>
        </w:tabs>
        <w:spacing w:line="256" w:lineRule="auto"/>
        <w:ind w:right="838" w:firstLine="0"/>
      </w:pPr>
      <w:r>
        <w:t>Issue accredited certificates for all accredited scopes (applicable to management systems,</w:t>
      </w:r>
      <w:r>
        <w:rPr>
          <w:spacing w:val="-47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only);</w:t>
      </w:r>
    </w:p>
    <w:p w:rsidR="001F18A1" w:rsidRDefault="00D829B7" w:rsidP="006C6DAD">
      <w:pPr>
        <w:pStyle w:val="ListeParagraf"/>
        <w:numPr>
          <w:ilvl w:val="0"/>
          <w:numId w:val="6"/>
        </w:numPr>
        <w:tabs>
          <w:tab w:val="left" w:pos="412"/>
        </w:tabs>
        <w:spacing w:before="164" w:line="256" w:lineRule="auto"/>
        <w:ind w:right="231"/>
      </w:pPr>
      <w:r>
        <w:t xml:space="preserve">Not to use the accreditation status in such a manner as to bring </w:t>
      </w:r>
      <w:r w:rsidR="002D77A9">
        <w:t>IRNAC</w:t>
      </w:r>
      <w:r w:rsidR="002D77A9">
        <w:t xml:space="preserve"> </w:t>
      </w:r>
      <w:r>
        <w:t>into disrepute and not make</w:t>
      </w:r>
      <w:r>
        <w:rPr>
          <w:spacing w:val="-4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accreditation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 w:rsidR="002D77A9">
        <w:t>IRNAC</w:t>
      </w:r>
      <w:r w:rsidR="002D77A9">
        <w:t xml:space="preserve"> </w:t>
      </w:r>
      <w:r>
        <w:t>may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misleading</w:t>
      </w:r>
      <w:r>
        <w:rPr>
          <w:spacing w:val="-2"/>
        </w:rPr>
        <w:t xml:space="preserve"> </w:t>
      </w:r>
      <w:r>
        <w:t xml:space="preserve">or </w:t>
      </w:r>
      <w:r w:rsidR="006C6DAD">
        <w:t>unauthorized</w:t>
      </w:r>
      <w:r>
        <w:t>;</w:t>
      </w:r>
    </w:p>
    <w:p w:rsidR="001F18A1" w:rsidRDefault="00D829B7">
      <w:pPr>
        <w:pStyle w:val="ListeParagraf"/>
        <w:numPr>
          <w:ilvl w:val="0"/>
          <w:numId w:val="6"/>
        </w:numPr>
        <w:tabs>
          <w:tab w:val="left" w:pos="369"/>
        </w:tabs>
        <w:spacing w:line="259" w:lineRule="auto"/>
        <w:ind w:right="175" w:firstLine="0"/>
      </w:pPr>
      <w:r>
        <w:t>Provide reasonable facilities, such as accommodation, cooperation, and access to documentation,</w:t>
      </w:r>
      <w:r>
        <w:rPr>
          <w:spacing w:val="-47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calibration</w:t>
      </w:r>
      <w:r>
        <w:rPr>
          <w:spacing w:val="-2"/>
        </w:rPr>
        <w:t xml:space="preserve"> </w:t>
      </w:r>
      <w:r>
        <w:t>standards, personnel,</w:t>
      </w:r>
      <w:r>
        <w:rPr>
          <w:spacing w:val="-1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calibration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testing</w:t>
      </w:r>
    </w:p>
    <w:p w:rsidR="001F18A1" w:rsidRDefault="001F18A1">
      <w:pPr>
        <w:spacing w:line="259" w:lineRule="auto"/>
        <w:sectPr w:rsidR="001F18A1">
          <w:headerReference w:type="default" r:id="rId7"/>
          <w:type w:val="continuous"/>
          <w:pgSz w:w="11910" w:h="16840"/>
          <w:pgMar w:top="2440" w:right="1320" w:bottom="280" w:left="1300" w:header="708" w:footer="708" w:gutter="0"/>
          <w:pgNumType w:start="1"/>
          <w:cols w:space="708"/>
        </w:sectPr>
      </w:pPr>
    </w:p>
    <w:p w:rsidR="001F18A1" w:rsidRDefault="00D829B7">
      <w:pPr>
        <w:pStyle w:val="GvdeMetni"/>
        <w:spacing w:line="259" w:lineRule="auto"/>
        <w:ind w:right="164"/>
      </w:pPr>
      <w:proofErr w:type="gramStart"/>
      <w:r>
        <w:lastRenderedPageBreak/>
        <w:t>areas</w:t>
      </w:r>
      <w:proofErr w:type="gramEnd"/>
      <w:r>
        <w:t xml:space="preserve"> for the assessors and </w:t>
      </w:r>
      <w:r w:rsidR="002D77A9">
        <w:t>IRNAC</w:t>
      </w:r>
      <w:r w:rsidR="002D77A9">
        <w:t xml:space="preserve"> </w:t>
      </w:r>
      <w:r>
        <w:t>staff, to discharge their duties throughout the assessment process</w:t>
      </w:r>
      <w:r>
        <w:rPr>
          <w:spacing w:val="1"/>
        </w:rPr>
        <w:t xml:space="preserve"> </w:t>
      </w:r>
      <w:r>
        <w:t>and assist in the investigation and resolution of any accreditation-related complaints about the</w:t>
      </w:r>
      <w:r>
        <w:rPr>
          <w:spacing w:val="1"/>
        </w:rPr>
        <w:t xml:space="preserve"> </w:t>
      </w:r>
      <w:r>
        <w:t xml:space="preserve">accredited </w:t>
      </w:r>
      <w:r w:rsidR="00C4629B">
        <w:t>organization</w:t>
      </w:r>
      <w:r>
        <w:t>. This include having a legally enforceable arrangement with their clients that</w:t>
      </w:r>
      <w:r>
        <w:rPr>
          <w:spacing w:val="-47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provide, on</w:t>
      </w:r>
      <w:r>
        <w:rPr>
          <w:spacing w:val="-1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2D77A9">
        <w:t>IRNAC</w:t>
      </w:r>
      <w:r w:rsidR="002D77A9">
        <w:t xml:space="preserve"> </w:t>
      </w:r>
      <w:r>
        <w:t>assessment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</w:p>
    <w:p w:rsidR="001F18A1" w:rsidRDefault="00C4629B">
      <w:pPr>
        <w:pStyle w:val="GvdeMetni"/>
        <w:spacing w:line="265" w:lineRule="exact"/>
      </w:pPr>
      <w:proofErr w:type="gramStart"/>
      <w:r>
        <w:t>organization’s</w:t>
      </w:r>
      <w:proofErr w:type="gramEnd"/>
      <w:r w:rsidR="00D829B7">
        <w:rPr>
          <w:spacing w:val="-2"/>
        </w:rPr>
        <w:t xml:space="preserve"> </w:t>
      </w:r>
      <w:r w:rsidR="00D829B7">
        <w:t>performance</w:t>
      </w:r>
      <w:r w:rsidR="00D829B7">
        <w:rPr>
          <w:spacing w:val="-1"/>
        </w:rPr>
        <w:t xml:space="preserve"> </w:t>
      </w:r>
      <w:r w:rsidR="00D829B7">
        <w:t>at</w:t>
      </w:r>
      <w:r w:rsidR="00D829B7">
        <w:rPr>
          <w:spacing w:val="-4"/>
        </w:rPr>
        <w:t xml:space="preserve"> </w:t>
      </w:r>
      <w:r w:rsidR="00D829B7">
        <w:t>the</w:t>
      </w:r>
      <w:r w:rsidR="00D829B7">
        <w:rPr>
          <w:spacing w:val="-2"/>
        </w:rPr>
        <w:t xml:space="preserve"> </w:t>
      </w:r>
      <w:r w:rsidR="00D829B7">
        <w:t>client’s</w:t>
      </w:r>
      <w:r w:rsidR="00D829B7">
        <w:rPr>
          <w:spacing w:val="-2"/>
        </w:rPr>
        <w:t xml:space="preserve"> </w:t>
      </w:r>
      <w:r w:rsidR="00D829B7">
        <w:t>site;</w:t>
      </w:r>
    </w:p>
    <w:p w:rsidR="001F18A1" w:rsidRDefault="00D829B7" w:rsidP="00A31674">
      <w:pPr>
        <w:pStyle w:val="ListeParagraf"/>
        <w:numPr>
          <w:ilvl w:val="0"/>
          <w:numId w:val="6"/>
        </w:numPr>
        <w:tabs>
          <w:tab w:val="left" w:pos="404"/>
        </w:tabs>
        <w:spacing w:before="181"/>
      </w:pPr>
      <w:r>
        <w:t>Make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 xml:space="preserve">to </w:t>
      </w:r>
      <w:r w:rsidR="002D77A9">
        <w:t>IRNAC</w:t>
      </w:r>
      <w:r w:rsidR="002D77A9"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by</w:t>
      </w:r>
      <w:r w:rsidR="002D77A9">
        <w:t xml:space="preserve"> </w:t>
      </w:r>
      <w:r w:rsidR="002D77A9">
        <w:t>IRNAC</w:t>
      </w:r>
      <w:r>
        <w:t>.</w:t>
      </w:r>
    </w:p>
    <w:p w:rsidR="001F18A1" w:rsidRDefault="00D829B7">
      <w:pPr>
        <w:pStyle w:val="ListeParagraf"/>
        <w:numPr>
          <w:ilvl w:val="0"/>
          <w:numId w:val="6"/>
        </w:numPr>
        <w:tabs>
          <w:tab w:val="left" w:pos="416"/>
        </w:tabs>
        <w:spacing w:before="182" w:line="256" w:lineRule="auto"/>
        <w:ind w:right="286" w:firstLine="0"/>
      </w:pPr>
      <w:r>
        <w:t>Upon the withdrawal of accreditation forthwith discontinue its use of reference to accreditation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withdraw all</w:t>
      </w:r>
      <w:r>
        <w:rPr>
          <w:spacing w:val="-3"/>
        </w:rPr>
        <w:t xml:space="preserve"> </w:t>
      </w:r>
      <w:r>
        <w:t>advertising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any reference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accreditation;</w:t>
      </w:r>
    </w:p>
    <w:p w:rsidR="001F18A1" w:rsidRDefault="00D829B7">
      <w:pPr>
        <w:pStyle w:val="ListeParagraf"/>
        <w:numPr>
          <w:ilvl w:val="0"/>
          <w:numId w:val="6"/>
        </w:numPr>
        <w:tabs>
          <w:tab w:val="left" w:pos="352"/>
        </w:tabs>
        <w:ind w:left="351" w:hanging="236"/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unequivocal statement</w:t>
      </w:r>
      <w:r>
        <w:rPr>
          <w:spacing w:val="-2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contacts</w:t>
      </w:r>
      <w:r>
        <w:rPr>
          <w:spacing w:val="-3"/>
        </w:rPr>
        <w:t xml:space="preserve"> </w:t>
      </w:r>
      <w:r>
        <w:t>with its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that:</w:t>
      </w:r>
    </w:p>
    <w:p w:rsidR="001F18A1" w:rsidRDefault="00D829B7" w:rsidP="00A31674">
      <w:pPr>
        <w:pStyle w:val="ListeParagraf"/>
        <w:numPr>
          <w:ilvl w:val="0"/>
          <w:numId w:val="3"/>
        </w:numPr>
        <w:tabs>
          <w:tab w:val="left" w:pos="1057"/>
        </w:tabs>
        <w:spacing w:before="183" w:line="256" w:lineRule="auto"/>
        <w:ind w:right="317"/>
      </w:pPr>
      <w:r>
        <w:t>a certificate of accreditation in no way implies that the product or service is approved by</w:t>
      </w:r>
      <w:r w:rsidR="002D77A9" w:rsidRPr="002D77A9">
        <w:t xml:space="preserve"> </w:t>
      </w:r>
      <w:r w:rsidR="002D77A9">
        <w:t>IRNAC</w:t>
      </w:r>
      <w:r>
        <w:t>;</w:t>
      </w:r>
    </w:p>
    <w:p w:rsidR="001F18A1" w:rsidRDefault="00D829B7">
      <w:pPr>
        <w:pStyle w:val="ListeParagraf"/>
        <w:numPr>
          <w:ilvl w:val="0"/>
          <w:numId w:val="3"/>
        </w:numPr>
        <w:tabs>
          <w:tab w:val="left" w:pos="1051"/>
        </w:tabs>
        <w:spacing w:line="256" w:lineRule="auto"/>
        <w:ind w:right="703" w:firstLine="0"/>
      </w:pPr>
      <w:r>
        <w:t>accreditation is done by way of sampling and it is the client’s (CABs) responsibility to</w:t>
      </w:r>
      <w:r>
        <w:rPr>
          <w:spacing w:val="-47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are provided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conformity</w:t>
      </w:r>
      <w:r>
        <w:rPr>
          <w:spacing w:val="-3"/>
        </w:rPr>
        <w:t xml:space="preserve"> </w:t>
      </w:r>
      <w:r>
        <w:t>assessment;</w:t>
      </w:r>
    </w:p>
    <w:p w:rsidR="001F18A1" w:rsidRDefault="00D829B7" w:rsidP="00F22CC3">
      <w:pPr>
        <w:pStyle w:val="ListeParagraf"/>
        <w:numPr>
          <w:ilvl w:val="0"/>
          <w:numId w:val="6"/>
        </w:numPr>
        <w:tabs>
          <w:tab w:val="left" w:pos="354"/>
        </w:tabs>
        <w:spacing w:before="164" w:line="256" w:lineRule="auto"/>
        <w:ind w:right="191"/>
      </w:pPr>
      <w:r>
        <w:t xml:space="preserve">Not represent or hold itself out as being the agent or partner of </w:t>
      </w:r>
      <w:r w:rsidR="002D77A9">
        <w:t>IRNAC</w:t>
      </w:r>
      <w:r w:rsidR="002D77A9">
        <w:t xml:space="preserve"> </w:t>
      </w:r>
      <w:r>
        <w:t>or make any representations,</w:t>
      </w:r>
      <w:r>
        <w:rPr>
          <w:spacing w:val="-47"/>
        </w:rPr>
        <w:t xml:space="preserve"> </w:t>
      </w:r>
      <w:r>
        <w:t>warranties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promises on</w:t>
      </w:r>
      <w:r>
        <w:rPr>
          <w:spacing w:val="-5"/>
        </w:rPr>
        <w:t xml:space="preserve"> </w:t>
      </w:r>
      <w:r>
        <w:t>behalf of</w:t>
      </w:r>
      <w:r w:rsidR="002D77A9" w:rsidRPr="002D77A9">
        <w:t xml:space="preserve"> </w:t>
      </w:r>
      <w:r w:rsidR="002D77A9">
        <w:t>IRNAC</w:t>
      </w:r>
      <w:r>
        <w:t>; and</w:t>
      </w:r>
    </w:p>
    <w:p w:rsidR="001F18A1" w:rsidRDefault="00D829B7" w:rsidP="00F22CC3">
      <w:pPr>
        <w:pStyle w:val="ListeParagraf"/>
        <w:numPr>
          <w:ilvl w:val="0"/>
          <w:numId w:val="6"/>
        </w:numPr>
        <w:tabs>
          <w:tab w:val="left" w:pos="402"/>
        </w:tabs>
        <w:spacing w:before="167" w:line="259" w:lineRule="auto"/>
        <w:ind w:right="228"/>
      </w:pPr>
      <w:r>
        <w:t>Ensure the standard of service and integrity of reports are maintained during relocation.</w:t>
      </w:r>
      <w:r>
        <w:rPr>
          <w:spacing w:val="1"/>
        </w:rPr>
        <w:t xml:space="preserve"> </w:t>
      </w:r>
      <w:r>
        <w:t xml:space="preserve">Accredited reports can continue to be issued prior to </w:t>
      </w:r>
      <w:r w:rsidR="002D77A9">
        <w:t>IRNAC</w:t>
      </w:r>
      <w:r w:rsidR="002D77A9">
        <w:t xml:space="preserve"> </w:t>
      </w:r>
      <w:r>
        <w:t>verification of continual compliance at the</w:t>
      </w:r>
      <w:r>
        <w:rPr>
          <w:spacing w:val="-47"/>
        </w:rPr>
        <w:t xml:space="preserve"> </w:t>
      </w:r>
      <w:r>
        <w:t xml:space="preserve">new location. Should subsequent findings from </w:t>
      </w:r>
      <w:r w:rsidR="002D77A9">
        <w:t>IRNAC</w:t>
      </w:r>
      <w:r w:rsidR="002D77A9">
        <w:t xml:space="preserve"> </w:t>
      </w:r>
      <w:r>
        <w:t>during the reassessment show the accreditation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compromised,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warrant</w:t>
      </w:r>
      <w:r>
        <w:rPr>
          <w:spacing w:val="-2"/>
        </w:rPr>
        <w:t xml:space="preserve"> </w:t>
      </w:r>
      <w:r>
        <w:t>for recall</w:t>
      </w:r>
      <w:r>
        <w:rPr>
          <w:spacing w:val="-2"/>
        </w:rPr>
        <w:t xml:space="preserve"> </w:t>
      </w:r>
      <w:r>
        <w:t>of reports issued.</w:t>
      </w:r>
    </w:p>
    <w:p w:rsidR="001F18A1" w:rsidRDefault="001F18A1">
      <w:pPr>
        <w:pStyle w:val="GvdeMetni"/>
        <w:ind w:left="0"/>
      </w:pPr>
    </w:p>
    <w:p w:rsidR="001F18A1" w:rsidRDefault="001F18A1">
      <w:pPr>
        <w:pStyle w:val="GvdeMetni"/>
        <w:spacing w:before="8"/>
        <w:ind w:left="0"/>
        <w:rPr>
          <w:sz w:val="27"/>
        </w:rPr>
      </w:pPr>
    </w:p>
    <w:p w:rsidR="001F18A1" w:rsidRDefault="00D829B7">
      <w:pPr>
        <w:pStyle w:val="Balk1"/>
      </w:pPr>
      <w:r>
        <w:t>2.)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of</w:t>
      </w:r>
      <w:r w:rsidR="002D77A9" w:rsidRPr="002D77A9">
        <w:t xml:space="preserve"> </w:t>
      </w:r>
      <w:r w:rsidR="002D77A9">
        <w:t>IRNAC</w:t>
      </w:r>
      <w:r w:rsidR="00F22CC3">
        <w:rPr>
          <w:spacing w:val="-2"/>
        </w:rPr>
        <w:t>.</w:t>
      </w:r>
    </w:p>
    <w:p w:rsidR="001F18A1" w:rsidRDefault="00D829B7">
      <w:pPr>
        <w:pStyle w:val="GvdeMetni"/>
        <w:spacing w:before="183" w:line="256" w:lineRule="auto"/>
        <w:ind w:right="338"/>
      </w:pPr>
      <w:r>
        <w:t xml:space="preserve">2.1-) </w:t>
      </w:r>
      <w:r w:rsidR="002D77A9">
        <w:t>IRNAC</w:t>
      </w:r>
      <w:r w:rsidR="002D77A9">
        <w:t xml:space="preserve"> </w:t>
      </w:r>
      <w:r>
        <w:t>shall determine in its sole discretion whether the Customer meets and continues to meet</w:t>
      </w:r>
      <w:r w:rsidRPr="00F22CC3">
        <w:t xml:space="preserve"> </w:t>
      </w:r>
      <w:r w:rsidR="002D77A9">
        <w:t>IRNAC</w:t>
      </w:r>
      <w:r w:rsidR="002D77A9">
        <w:t xml:space="preserve"> </w:t>
      </w:r>
      <w:r>
        <w:t>Requirements.</w:t>
      </w:r>
    </w:p>
    <w:p w:rsidR="001F18A1" w:rsidRDefault="00D829B7">
      <w:pPr>
        <w:pStyle w:val="GvdeMetni"/>
        <w:spacing w:before="165" w:line="259" w:lineRule="auto"/>
        <w:ind w:right="565"/>
      </w:pPr>
      <w:r>
        <w:t xml:space="preserve">2.2-) </w:t>
      </w:r>
      <w:r w:rsidR="002D77A9">
        <w:t>IRNAC</w:t>
      </w:r>
      <w:r w:rsidR="002D77A9">
        <w:t xml:space="preserve"> </w:t>
      </w:r>
      <w:r>
        <w:t>shall make available to the Customer at the customer’s (CABs) request the appropriate</w:t>
      </w:r>
      <w:r>
        <w:rPr>
          <w:spacing w:val="-47"/>
        </w:rPr>
        <w:t xml:space="preserve"> </w:t>
      </w:r>
      <w:r>
        <w:t>requirements if not already publicly available or restricted from distribution (e.g., copyright</w:t>
      </w:r>
      <w:r>
        <w:rPr>
          <w:spacing w:val="1"/>
        </w:rPr>
        <w:t xml:space="preserve"> </w:t>
      </w:r>
      <w:r>
        <w:t>protected).</w:t>
      </w:r>
    </w:p>
    <w:p w:rsidR="001F18A1" w:rsidRDefault="00D829B7">
      <w:pPr>
        <w:pStyle w:val="GvdeMetni"/>
        <w:spacing w:before="159" w:line="256" w:lineRule="auto"/>
        <w:ind w:right="562"/>
      </w:pPr>
      <w:r>
        <w:t xml:space="preserve">2.3-) </w:t>
      </w:r>
      <w:r w:rsidR="002D77A9">
        <w:t>IRNAC</w:t>
      </w:r>
      <w:r w:rsidR="002D77A9">
        <w:t xml:space="preserve"> </w:t>
      </w:r>
      <w:r>
        <w:t>shall give due notice of any changes to its requirements and of the transition period by</w:t>
      </w:r>
      <w:r>
        <w:rPr>
          <w:spacing w:val="-4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 (CAB)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requirements</w:t>
      </w:r>
    </w:p>
    <w:p w:rsidR="001F18A1" w:rsidRDefault="00D829B7">
      <w:pPr>
        <w:pStyle w:val="GvdeMetni"/>
        <w:spacing w:before="165" w:line="259" w:lineRule="auto"/>
        <w:ind w:right="532"/>
      </w:pPr>
      <w:r>
        <w:t xml:space="preserve">2.4-) All persons </w:t>
      </w:r>
      <w:r w:rsidR="002D77A9">
        <w:t>IRNAC</w:t>
      </w:r>
      <w:r w:rsidR="002D77A9">
        <w:t xml:space="preserve"> </w:t>
      </w:r>
      <w:r>
        <w:t>assigns to conduct the accreditation services under this Agreement will be</w:t>
      </w:r>
      <w:r>
        <w:rPr>
          <w:spacing w:val="1"/>
        </w:rPr>
        <w:t xml:space="preserve"> </w:t>
      </w:r>
      <w:r>
        <w:t xml:space="preserve">employees, agents or independent contractors of </w:t>
      </w:r>
      <w:r w:rsidR="002D77A9">
        <w:t>IRNAC</w:t>
      </w:r>
      <w:r w:rsidR="002D77A9">
        <w:t xml:space="preserve"> </w:t>
      </w:r>
      <w:r>
        <w:t>that have the skills needed to perform the</w:t>
      </w:r>
      <w:r>
        <w:rPr>
          <w:spacing w:val="-47"/>
        </w:rPr>
        <w:t xml:space="preserve"> </w:t>
      </w:r>
      <w:r>
        <w:t>services and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of information.</w:t>
      </w:r>
    </w:p>
    <w:p w:rsidR="001F18A1" w:rsidRDefault="00D829B7" w:rsidP="00E47438">
      <w:pPr>
        <w:pStyle w:val="GvdeMetni"/>
        <w:spacing w:before="160"/>
      </w:pPr>
      <w:r>
        <w:t>2.5-)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customer, </w:t>
      </w:r>
      <w:r w:rsidR="002D77A9">
        <w:t>IRNAC</w:t>
      </w:r>
      <w:r w:rsidR="002D77A9">
        <w:t xml:space="preserve"> </w:t>
      </w:r>
      <w:r>
        <w:t>shall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E47438">
        <w:t xml:space="preserve"> </w:t>
      </w:r>
      <w:r w:rsidR="009D5A2E">
        <w:t>C</w:t>
      </w:r>
      <w:r>
        <w:t>ustomer</w:t>
      </w:r>
      <w:r w:rsidR="002D77A9">
        <w:t xml:space="preserve"> </w:t>
      </w:r>
      <w:r w:rsidR="002D77A9">
        <w:t>IRNAC</w:t>
      </w:r>
      <w:r>
        <w:t>’s certificate of accreditation, including the scope of accreditation, and provide the</w:t>
      </w:r>
      <w:r>
        <w:rPr>
          <w:spacing w:val="1"/>
        </w:rPr>
        <w:t xml:space="preserve"> </w:t>
      </w:r>
      <w:r>
        <w:t>customer with a copy of the applicable accreditation symbol for use by the customer in accordance</w:t>
      </w:r>
      <w:r>
        <w:rPr>
          <w:spacing w:val="-47"/>
        </w:rPr>
        <w:t xml:space="preserve"> </w:t>
      </w:r>
      <w:r>
        <w:t>use with</w:t>
      </w:r>
      <w:r>
        <w:rPr>
          <w:spacing w:val="-2"/>
        </w:rPr>
        <w:t xml:space="preserve"> </w:t>
      </w:r>
      <w:r w:rsidR="002D77A9">
        <w:t>IRNAC</w:t>
      </w:r>
      <w:r w:rsidR="002D77A9">
        <w:t xml:space="preserve"> </w:t>
      </w:r>
      <w:r>
        <w:t>logo</w:t>
      </w:r>
      <w:r>
        <w:rPr>
          <w:spacing w:val="1"/>
        </w:rPr>
        <w:t xml:space="preserve"> </w:t>
      </w:r>
      <w:r>
        <w:t>procedure.</w:t>
      </w:r>
    </w:p>
    <w:p w:rsidR="001F18A1" w:rsidRDefault="001F18A1">
      <w:pPr>
        <w:spacing w:line="259" w:lineRule="auto"/>
        <w:sectPr w:rsidR="001F18A1">
          <w:pgSz w:w="11910" w:h="16840"/>
          <w:pgMar w:top="2440" w:right="1320" w:bottom="280" w:left="1300" w:header="708" w:footer="0" w:gutter="0"/>
          <w:cols w:space="708"/>
        </w:sectPr>
      </w:pPr>
    </w:p>
    <w:p w:rsidR="001F18A1" w:rsidRDefault="00D829B7" w:rsidP="009D5A2E">
      <w:pPr>
        <w:pStyle w:val="ListeParagraf"/>
        <w:numPr>
          <w:ilvl w:val="1"/>
          <w:numId w:val="2"/>
        </w:numPr>
        <w:tabs>
          <w:tab w:val="left" w:pos="502"/>
        </w:tabs>
        <w:spacing w:before="0" w:line="259" w:lineRule="auto"/>
        <w:ind w:right="384"/>
      </w:pPr>
      <w:r>
        <w:lastRenderedPageBreak/>
        <w:t xml:space="preserve">If </w:t>
      </w:r>
      <w:r w:rsidR="002D77A9">
        <w:t>IRNAC</w:t>
      </w:r>
      <w:r w:rsidR="002D77A9">
        <w:t xml:space="preserve"> </w:t>
      </w:r>
      <w:r>
        <w:t>becomes aware of and deems credible evidence of the customer engaging in fraudulent</w:t>
      </w:r>
      <w:r>
        <w:rPr>
          <w:spacing w:val="-47"/>
        </w:rPr>
        <w:t xml:space="preserve"> </w:t>
      </w:r>
      <w:r>
        <w:t>behavior, including the intentional concealment or provision of false information material to the</w:t>
      </w:r>
      <w:r>
        <w:rPr>
          <w:spacing w:val="1"/>
        </w:rPr>
        <w:t xml:space="preserve"> </w:t>
      </w:r>
      <w:r>
        <w:t xml:space="preserve">accreditation, or the deliberate violation of the requirements, </w:t>
      </w:r>
      <w:r w:rsidR="002D77A9">
        <w:t>IRNAC</w:t>
      </w:r>
      <w:r w:rsidR="002D77A9">
        <w:t xml:space="preserve"> </w:t>
      </w:r>
      <w:r>
        <w:t>will reject or withdraw the</w:t>
      </w:r>
      <w:r>
        <w:rPr>
          <w:spacing w:val="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accreditation,</w:t>
      </w:r>
      <w:r>
        <w:rPr>
          <w:spacing w:val="-1"/>
        </w:rPr>
        <w:t xml:space="preserve"> </w:t>
      </w:r>
      <w:r>
        <w:t>as applicable.</w:t>
      </w:r>
    </w:p>
    <w:p w:rsidR="001F18A1" w:rsidRDefault="00E40CB3" w:rsidP="00E40CB3">
      <w:pPr>
        <w:pStyle w:val="ListeParagraf"/>
        <w:numPr>
          <w:ilvl w:val="1"/>
          <w:numId w:val="2"/>
        </w:numPr>
        <w:tabs>
          <w:tab w:val="left" w:pos="500"/>
        </w:tabs>
        <w:spacing w:before="158" w:line="259" w:lineRule="auto"/>
        <w:ind w:right="192"/>
      </w:pPr>
      <w:r w:rsidRPr="00E40CB3">
        <w:t xml:space="preserve">If the customer uses </w:t>
      </w:r>
      <w:r w:rsidR="002D77A9">
        <w:t>IRNAC</w:t>
      </w:r>
      <w:r w:rsidRPr="00E40CB3">
        <w:t xml:space="preserve">'s name or trademark improperly, or if </w:t>
      </w:r>
      <w:r w:rsidR="002D77A9">
        <w:t>IRNAC</w:t>
      </w:r>
      <w:r w:rsidR="002D77A9" w:rsidRPr="00E40CB3">
        <w:t xml:space="preserve"> </w:t>
      </w:r>
      <w:r w:rsidRPr="00E40CB3">
        <w:t xml:space="preserve">determines that the customer has not fulfilled its obligations under this agreement, </w:t>
      </w:r>
      <w:r w:rsidR="002D77A9">
        <w:t>IRNAC</w:t>
      </w:r>
      <w:r w:rsidR="002D77A9" w:rsidRPr="00E40CB3">
        <w:t xml:space="preserve"> </w:t>
      </w:r>
      <w:r w:rsidRPr="00E40CB3">
        <w:t>shall have the right, by written notice to th</w:t>
      </w:r>
      <w:r>
        <w:t>e customer, to do the following</w:t>
      </w:r>
      <w:r w:rsidR="00D829B7">
        <w:t>: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1036"/>
        </w:tabs>
        <w:spacing w:before="159" w:line="256" w:lineRule="auto"/>
        <w:ind w:right="705" w:firstLine="0"/>
      </w:pPr>
      <w:r>
        <w:t xml:space="preserve">Suspend all or part of its accreditation activities until the customer conforms </w:t>
      </w:r>
      <w:proofErr w:type="gramStart"/>
      <w:r>
        <w:t>with</w:t>
      </w:r>
      <w:proofErr w:type="gramEnd"/>
      <w:r>
        <w:t xml:space="preserve"> its</w:t>
      </w:r>
      <w:r>
        <w:rPr>
          <w:spacing w:val="-47"/>
        </w:rPr>
        <w:t xml:space="preserve"> </w:t>
      </w:r>
      <w:r>
        <w:t>obligations.</w:t>
      </w:r>
    </w:p>
    <w:p w:rsidR="001F18A1" w:rsidRDefault="00D829B7" w:rsidP="00B20A08">
      <w:pPr>
        <w:pStyle w:val="ListeParagraf"/>
        <w:numPr>
          <w:ilvl w:val="2"/>
          <w:numId w:val="2"/>
        </w:numPr>
        <w:tabs>
          <w:tab w:val="left" w:pos="1046"/>
        </w:tabs>
        <w:spacing w:before="163"/>
      </w:pPr>
      <w:r>
        <w:t>Withdraw</w:t>
      </w:r>
      <w:r>
        <w:rPr>
          <w:spacing w:val="-1"/>
        </w:rPr>
        <w:t xml:space="preserve"> </w:t>
      </w:r>
      <w:r>
        <w:t>the customer’s</w:t>
      </w:r>
      <w:r>
        <w:rPr>
          <w:spacing w:val="-1"/>
        </w:rPr>
        <w:t xml:space="preserve"> </w:t>
      </w:r>
      <w:r w:rsidR="002D77A9">
        <w:t>IRNAC</w:t>
      </w:r>
      <w:r w:rsidR="002D77A9"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accreditation.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1024"/>
        </w:tabs>
        <w:spacing w:before="185" w:line="256" w:lineRule="auto"/>
        <w:ind w:right="418" w:firstLine="0"/>
      </w:pPr>
      <w:r>
        <w:t>Require the customer (temporarily or permanently) to cease using in any manner the</w:t>
      </w:r>
      <w:r>
        <w:rPr>
          <w:spacing w:val="1"/>
        </w:rPr>
        <w:t xml:space="preserve"> </w:t>
      </w:r>
      <w:r>
        <w:t>certificate of accreditation, including the scope of accreditation, the accreditation symbol,</w:t>
      </w:r>
      <w:r>
        <w:rPr>
          <w:spacing w:val="-47"/>
        </w:rPr>
        <w:t xml:space="preserve"> </w:t>
      </w:r>
      <w:r>
        <w:t>and/or applicable</w:t>
      </w:r>
      <w:r>
        <w:rPr>
          <w:spacing w:val="-2"/>
        </w:rPr>
        <w:t xml:space="preserve"> </w:t>
      </w:r>
      <w:r>
        <w:t>mark.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1046"/>
        </w:tabs>
        <w:spacing w:before="168" w:line="254" w:lineRule="auto"/>
        <w:ind w:right="1045" w:firstLine="0"/>
      </w:pPr>
      <w:r>
        <w:t>Refuse to issue a certificate of accreditation and/or scope of accreditation to the</w:t>
      </w:r>
      <w:r>
        <w:rPr>
          <w:spacing w:val="-47"/>
        </w:rPr>
        <w:t xml:space="preserve"> </w:t>
      </w:r>
      <w:r>
        <w:t>customer.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1041"/>
        </w:tabs>
        <w:spacing w:before="167"/>
        <w:ind w:left="1040" w:hanging="217"/>
      </w:pPr>
      <w:r>
        <w:t>Require</w:t>
      </w:r>
      <w:r>
        <w:rPr>
          <w:spacing w:val="-4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action.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998"/>
        </w:tabs>
        <w:spacing w:before="180"/>
        <w:ind w:left="997" w:hanging="174"/>
      </w:pPr>
      <w:r>
        <w:t>Publish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transgression.</w:t>
      </w:r>
    </w:p>
    <w:p w:rsidR="001F18A1" w:rsidRDefault="00D829B7">
      <w:pPr>
        <w:pStyle w:val="ListeParagraf"/>
        <w:numPr>
          <w:ilvl w:val="2"/>
          <w:numId w:val="2"/>
        </w:numPr>
        <w:tabs>
          <w:tab w:val="left" w:pos="1033"/>
        </w:tabs>
        <w:spacing w:before="183"/>
        <w:ind w:left="1032" w:hanging="209"/>
      </w:pPr>
      <w:r>
        <w:t>Take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action.</w:t>
      </w:r>
    </w:p>
    <w:p w:rsidR="001F18A1" w:rsidRDefault="00D829B7">
      <w:pPr>
        <w:pStyle w:val="GvdeMetni"/>
        <w:spacing w:before="183" w:line="256" w:lineRule="auto"/>
        <w:ind w:right="694"/>
      </w:pPr>
      <w:r>
        <w:t xml:space="preserve">In the event </w:t>
      </w:r>
      <w:r w:rsidR="00A93EF3">
        <w:t>IRNAC</w:t>
      </w:r>
      <w:r w:rsidR="00B20A08">
        <w:t xml:space="preserve"> </w:t>
      </w:r>
      <w:r>
        <w:t xml:space="preserve">takes any of the foregoing actions, </w:t>
      </w:r>
      <w:r w:rsidR="00A93EF3">
        <w:t>IRNAC</w:t>
      </w:r>
      <w:r w:rsidR="00A93EF3">
        <w:t xml:space="preserve"> </w:t>
      </w:r>
      <w:r>
        <w:t>shall not be required to reimburse any</w:t>
      </w:r>
      <w:r>
        <w:rPr>
          <w:spacing w:val="-4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customer.</w:t>
      </w:r>
    </w:p>
    <w:p w:rsidR="001F18A1" w:rsidRDefault="00A93EF3" w:rsidP="00B20A08">
      <w:pPr>
        <w:pStyle w:val="ListeParagraf"/>
        <w:numPr>
          <w:ilvl w:val="1"/>
          <w:numId w:val="2"/>
        </w:numPr>
        <w:tabs>
          <w:tab w:val="left" w:pos="502"/>
        </w:tabs>
        <w:spacing w:line="256" w:lineRule="auto"/>
        <w:ind w:right="314"/>
      </w:pPr>
      <w:r>
        <w:t>IRNAC</w:t>
      </w:r>
      <w:r>
        <w:t xml:space="preserve"> </w:t>
      </w:r>
      <w:r w:rsidR="00D829B7">
        <w:t>shall make publicly available information about the current status of accreditation granted</w:t>
      </w:r>
      <w:r w:rsidR="00D829B7">
        <w:rPr>
          <w:spacing w:val="-47"/>
        </w:rPr>
        <w:t xml:space="preserve"> </w:t>
      </w:r>
      <w:r w:rsidR="00D829B7">
        <w:t>to</w:t>
      </w:r>
      <w:r w:rsidR="00D829B7">
        <w:rPr>
          <w:spacing w:val="-2"/>
        </w:rPr>
        <w:t xml:space="preserve"> </w:t>
      </w:r>
      <w:r w:rsidR="00D829B7">
        <w:t>the customer, including</w:t>
      </w:r>
      <w:r w:rsidR="00D829B7">
        <w:rPr>
          <w:spacing w:val="-1"/>
        </w:rPr>
        <w:t xml:space="preserve"> </w:t>
      </w:r>
      <w:r w:rsidR="00D829B7">
        <w:t>the</w:t>
      </w:r>
      <w:r w:rsidR="00D829B7">
        <w:rPr>
          <w:spacing w:val="1"/>
        </w:rPr>
        <w:t xml:space="preserve"> </w:t>
      </w:r>
      <w:r w:rsidR="00D829B7">
        <w:t>following:</w:t>
      </w:r>
    </w:p>
    <w:p w:rsidR="001F18A1" w:rsidRDefault="00D829B7">
      <w:pPr>
        <w:pStyle w:val="GvdeMetni"/>
        <w:spacing w:before="164"/>
        <w:ind w:left="824"/>
      </w:pPr>
      <w:r>
        <w:t>a.</w:t>
      </w:r>
      <w:r w:rsidR="00770A64">
        <w:t xml:space="preserve"> </w:t>
      </w:r>
      <w:r>
        <w:t>Name and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customer.</w:t>
      </w:r>
    </w:p>
    <w:p w:rsidR="001F18A1" w:rsidRDefault="00D829B7">
      <w:pPr>
        <w:pStyle w:val="ListeParagraf"/>
        <w:numPr>
          <w:ilvl w:val="0"/>
          <w:numId w:val="1"/>
        </w:numPr>
        <w:tabs>
          <w:tab w:val="left" w:pos="1046"/>
        </w:tabs>
        <w:spacing w:before="180"/>
        <w:ind w:hanging="222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granting</w:t>
      </w:r>
      <w:r>
        <w:rPr>
          <w:spacing w:val="-1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date.</w:t>
      </w:r>
    </w:p>
    <w:p w:rsidR="001F18A1" w:rsidRDefault="00D829B7">
      <w:pPr>
        <w:pStyle w:val="ListeParagraf"/>
        <w:numPr>
          <w:ilvl w:val="0"/>
          <w:numId w:val="1"/>
        </w:numPr>
        <w:tabs>
          <w:tab w:val="left" w:pos="1024"/>
        </w:tabs>
        <w:spacing w:before="181"/>
        <w:ind w:left="1023" w:hanging="200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accreditation.</w:t>
      </w:r>
    </w:p>
    <w:p w:rsidR="001F18A1" w:rsidRDefault="00D829B7">
      <w:pPr>
        <w:pStyle w:val="ListeParagraf"/>
        <w:numPr>
          <w:ilvl w:val="0"/>
          <w:numId w:val="1"/>
        </w:numPr>
        <w:tabs>
          <w:tab w:val="left" w:pos="1046"/>
        </w:tabs>
        <w:spacing w:before="182"/>
        <w:ind w:hanging="222"/>
      </w:pPr>
      <w:r>
        <w:t>Suspension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accreditation.</w:t>
      </w:r>
    </w:p>
    <w:sectPr w:rsidR="001F18A1">
      <w:pgSz w:w="11910" w:h="16840"/>
      <w:pgMar w:top="2440" w:right="132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BB" w:rsidRDefault="00CE1ABB">
      <w:r>
        <w:separator/>
      </w:r>
    </w:p>
  </w:endnote>
  <w:endnote w:type="continuationSeparator" w:id="0">
    <w:p w:rsidR="00CE1ABB" w:rsidRDefault="00CE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BB" w:rsidRDefault="00CE1ABB">
      <w:r>
        <w:separator/>
      </w:r>
    </w:p>
  </w:footnote>
  <w:footnote w:type="continuationSeparator" w:id="0">
    <w:p w:rsidR="00CE1ABB" w:rsidRDefault="00CE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A1" w:rsidRDefault="00BC3A99">
    <w:pPr>
      <w:pStyle w:val="GvdeMetni"/>
      <w:spacing w:line="14" w:lineRule="auto"/>
      <w:ind w:left="0"/>
      <w:rPr>
        <w:sz w:val="20"/>
      </w:rPr>
    </w:pPr>
    <w:r w:rsidRPr="0085007F"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2442321</wp:posOffset>
          </wp:positionH>
          <wp:positionV relativeFrom="paragraph">
            <wp:posOffset>-202980</wp:posOffset>
          </wp:positionV>
          <wp:extent cx="1025525" cy="969811"/>
          <wp:effectExtent l="0" t="0" r="3175" b="1905"/>
          <wp:wrapTopAndBottom/>
          <wp:docPr id="1" name="Resim 1" descr="C:\Users\sevda\OneDrive\Masaüstü\IRNAC LOGO - Kop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vda\OneDrive\Masaüstü\IRNAC LOGO - Kopy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96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2BA"/>
    <w:multiLevelType w:val="hybridMultilevel"/>
    <w:tmpl w:val="EEACF2DC"/>
    <w:lvl w:ilvl="0" w:tplc="72B0496A">
      <w:start w:val="4"/>
      <w:numFmt w:val="lowerRoman"/>
      <w:lvlText w:val="(%1)"/>
      <w:lvlJc w:val="left"/>
      <w:pPr>
        <w:ind w:left="1159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9F891CA">
      <w:numFmt w:val="bullet"/>
      <w:lvlText w:val="•"/>
      <w:lvlJc w:val="left"/>
      <w:pPr>
        <w:ind w:left="1972" w:hanging="336"/>
      </w:pPr>
      <w:rPr>
        <w:rFonts w:hint="default"/>
        <w:lang w:val="en-US" w:eastAsia="en-US" w:bidi="ar-SA"/>
      </w:rPr>
    </w:lvl>
    <w:lvl w:ilvl="2" w:tplc="57AAAEFE">
      <w:numFmt w:val="bullet"/>
      <w:lvlText w:val="•"/>
      <w:lvlJc w:val="left"/>
      <w:pPr>
        <w:ind w:left="2785" w:hanging="336"/>
      </w:pPr>
      <w:rPr>
        <w:rFonts w:hint="default"/>
        <w:lang w:val="en-US" w:eastAsia="en-US" w:bidi="ar-SA"/>
      </w:rPr>
    </w:lvl>
    <w:lvl w:ilvl="3" w:tplc="BBA090FE">
      <w:numFmt w:val="bullet"/>
      <w:lvlText w:val="•"/>
      <w:lvlJc w:val="left"/>
      <w:pPr>
        <w:ind w:left="3597" w:hanging="336"/>
      </w:pPr>
      <w:rPr>
        <w:rFonts w:hint="default"/>
        <w:lang w:val="en-US" w:eastAsia="en-US" w:bidi="ar-SA"/>
      </w:rPr>
    </w:lvl>
    <w:lvl w:ilvl="4" w:tplc="DB12D76E">
      <w:numFmt w:val="bullet"/>
      <w:lvlText w:val="•"/>
      <w:lvlJc w:val="left"/>
      <w:pPr>
        <w:ind w:left="4410" w:hanging="336"/>
      </w:pPr>
      <w:rPr>
        <w:rFonts w:hint="default"/>
        <w:lang w:val="en-US" w:eastAsia="en-US" w:bidi="ar-SA"/>
      </w:rPr>
    </w:lvl>
    <w:lvl w:ilvl="5" w:tplc="1C2C0F8A">
      <w:numFmt w:val="bullet"/>
      <w:lvlText w:val="•"/>
      <w:lvlJc w:val="left"/>
      <w:pPr>
        <w:ind w:left="5223" w:hanging="336"/>
      </w:pPr>
      <w:rPr>
        <w:rFonts w:hint="default"/>
        <w:lang w:val="en-US" w:eastAsia="en-US" w:bidi="ar-SA"/>
      </w:rPr>
    </w:lvl>
    <w:lvl w:ilvl="6" w:tplc="8D14D382">
      <w:numFmt w:val="bullet"/>
      <w:lvlText w:val="•"/>
      <w:lvlJc w:val="left"/>
      <w:pPr>
        <w:ind w:left="6035" w:hanging="336"/>
      </w:pPr>
      <w:rPr>
        <w:rFonts w:hint="default"/>
        <w:lang w:val="en-US" w:eastAsia="en-US" w:bidi="ar-SA"/>
      </w:rPr>
    </w:lvl>
    <w:lvl w:ilvl="7" w:tplc="9D9631FE">
      <w:numFmt w:val="bullet"/>
      <w:lvlText w:val="•"/>
      <w:lvlJc w:val="left"/>
      <w:pPr>
        <w:ind w:left="6848" w:hanging="336"/>
      </w:pPr>
      <w:rPr>
        <w:rFonts w:hint="default"/>
        <w:lang w:val="en-US" w:eastAsia="en-US" w:bidi="ar-SA"/>
      </w:rPr>
    </w:lvl>
    <w:lvl w:ilvl="8" w:tplc="531E1E5E">
      <w:numFmt w:val="bullet"/>
      <w:lvlText w:val="•"/>
      <w:lvlJc w:val="left"/>
      <w:pPr>
        <w:ind w:left="7661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10CA4D40"/>
    <w:multiLevelType w:val="hybridMultilevel"/>
    <w:tmpl w:val="C4EC1B5A"/>
    <w:lvl w:ilvl="0" w:tplc="B7D26D18">
      <w:start w:val="9"/>
      <w:numFmt w:val="lowerRoman"/>
      <w:lvlText w:val="(%1)"/>
      <w:lvlJc w:val="left"/>
      <w:pPr>
        <w:ind w:left="1155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E04EF76">
      <w:numFmt w:val="bullet"/>
      <w:lvlText w:val="•"/>
      <w:lvlJc w:val="left"/>
      <w:pPr>
        <w:ind w:left="1972" w:hanging="331"/>
      </w:pPr>
      <w:rPr>
        <w:rFonts w:hint="default"/>
        <w:lang w:val="en-US" w:eastAsia="en-US" w:bidi="ar-SA"/>
      </w:rPr>
    </w:lvl>
    <w:lvl w:ilvl="2" w:tplc="27A0AC92">
      <w:numFmt w:val="bullet"/>
      <w:lvlText w:val="•"/>
      <w:lvlJc w:val="left"/>
      <w:pPr>
        <w:ind w:left="2785" w:hanging="331"/>
      </w:pPr>
      <w:rPr>
        <w:rFonts w:hint="default"/>
        <w:lang w:val="en-US" w:eastAsia="en-US" w:bidi="ar-SA"/>
      </w:rPr>
    </w:lvl>
    <w:lvl w:ilvl="3" w:tplc="D4F8DC88">
      <w:numFmt w:val="bullet"/>
      <w:lvlText w:val="•"/>
      <w:lvlJc w:val="left"/>
      <w:pPr>
        <w:ind w:left="3597" w:hanging="331"/>
      </w:pPr>
      <w:rPr>
        <w:rFonts w:hint="default"/>
        <w:lang w:val="en-US" w:eastAsia="en-US" w:bidi="ar-SA"/>
      </w:rPr>
    </w:lvl>
    <w:lvl w:ilvl="4" w:tplc="0D28019E">
      <w:numFmt w:val="bullet"/>
      <w:lvlText w:val="•"/>
      <w:lvlJc w:val="left"/>
      <w:pPr>
        <w:ind w:left="4410" w:hanging="331"/>
      </w:pPr>
      <w:rPr>
        <w:rFonts w:hint="default"/>
        <w:lang w:val="en-US" w:eastAsia="en-US" w:bidi="ar-SA"/>
      </w:rPr>
    </w:lvl>
    <w:lvl w:ilvl="5" w:tplc="7840C636">
      <w:numFmt w:val="bullet"/>
      <w:lvlText w:val="•"/>
      <w:lvlJc w:val="left"/>
      <w:pPr>
        <w:ind w:left="5223" w:hanging="331"/>
      </w:pPr>
      <w:rPr>
        <w:rFonts w:hint="default"/>
        <w:lang w:val="en-US" w:eastAsia="en-US" w:bidi="ar-SA"/>
      </w:rPr>
    </w:lvl>
    <w:lvl w:ilvl="6" w:tplc="A3C4269A">
      <w:numFmt w:val="bullet"/>
      <w:lvlText w:val="•"/>
      <w:lvlJc w:val="left"/>
      <w:pPr>
        <w:ind w:left="6035" w:hanging="331"/>
      </w:pPr>
      <w:rPr>
        <w:rFonts w:hint="default"/>
        <w:lang w:val="en-US" w:eastAsia="en-US" w:bidi="ar-SA"/>
      </w:rPr>
    </w:lvl>
    <w:lvl w:ilvl="7" w:tplc="66C03CC0">
      <w:numFmt w:val="bullet"/>
      <w:lvlText w:val="•"/>
      <w:lvlJc w:val="left"/>
      <w:pPr>
        <w:ind w:left="6848" w:hanging="331"/>
      </w:pPr>
      <w:rPr>
        <w:rFonts w:hint="default"/>
        <w:lang w:val="en-US" w:eastAsia="en-US" w:bidi="ar-SA"/>
      </w:rPr>
    </w:lvl>
    <w:lvl w:ilvl="8" w:tplc="0488593E">
      <w:numFmt w:val="bullet"/>
      <w:lvlText w:val="•"/>
      <w:lvlJc w:val="left"/>
      <w:pPr>
        <w:ind w:left="7661" w:hanging="331"/>
      </w:pPr>
      <w:rPr>
        <w:rFonts w:hint="default"/>
        <w:lang w:val="en-US" w:eastAsia="en-US" w:bidi="ar-SA"/>
      </w:rPr>
    </w:lvl>
  </w:abstractNum>
  <w:abstractNum w:abstractNumId="2" w15:restartNumberingAfterBreak="0">
    <w:nsid w:val="26844181"/>
    <w:multiLevelType w:val="hybridMultilevel"/>
    <w:tmpl w:val="42C26FAC"/>
    <w:lvl w:ilvl="0" w:tplc="AE3E197A">
      <w:start w:val="1"/>
      <w:numFmt w:val="lowerLetter"/>
      <w:lvlText w:val="(%1)"/>
      <w:lvlJc w:val="left"/>
      <w:pPr>
        <w:ind w:left="116" w:hanging="29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B76A062">
      <w:start w:val="1"/>
      <w:numFmt w:val="lowerRoman"/>
      <w:lvlText w:val="(%2)"/>
      <w:lvlJc w:val="left"/>
      <w:pPr>
        <w:ind w:left="1059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3F3AEB4A">
      <w:numFmt w:val="bullet"/>
      <w:lvlText w:val="•"/>
      <w:lvlJc w:val="left"/>
      <w:pPr>
        <w:ind w:left="1974" w:hanging="235"/>
      </w:pPr>
      <w:rPr>
        <w:rFonts w:hint="default"/>
        <w:lang w:val="en-US" w:eastAsia="en-US" w:bidi="ar-SA"/>
      </w:rPr>
    </w:lvl>
    <w:lvl w:ilvl="3" w:tplc="316A14F4">
      <w:numFmt w:val="bullet"/>
      <w:lvlText w:val="•"/>
      <w:lvlJc w:val="left"/>
      <w:pPr>
        <w:ind w:left="2888" w:hanging="235"/>
      </w:pPr>
      <w:rPr>
        <w:rFonts w:hint="default"/>
        <w:lang w:val="en-US" w:eastAsia="en-US" w:bidi="ar-SA"/>
      </w:rPr>
    </w:lvl>
    <w:lvl w:ilvl="4" w:tplc="2962E8C4">
      <w:numFmt w:val="bullet"/>
      <w:lvlText w:val="•"/>
      <w:lvlJc w:val="left"/>
      <w:pPr>
        <w:ind w:left="3802" w:hanging="235"/>
      </w:pPr>
      <w:rPr>
        <w:rFonts w:hint="default"/>
        <w:lang w:val="en-US" w:eastAsia="en-US" w:bidi="ar-SA"/>
      </w:rPr>
    </w:lvl>
    <w:lvl w:ilvl="5" w:tplc="39F846EE">
      <w:numFmt w:val="bullet"/>
      <w:lvlText w:val="•"/>
      <w:lvlJc w:val="left"/>
      <w:pPr>
        <w:ind w:left="4716" w:hanging="235"/>
      </w:pPr>
      <w:rPr>
        <w:rFonts w:hint="default"/>
        <w:lang w:val="en-US" w:eastAsia="en-US" w:bidi="ar-SA"/>
      </w:rPr>
    </w:lvl>
    <w:lvl w:ilvl="6" w:tplc="8EE44212">
      <w:numFmt w:val="bullet"/>
      <w:lvlText w:val="•"/>
      <w:lvlJc w:val="left"/>
      <w:pPr>
        <w:ind w:left="5630" w:hanging="235"/>
      </w:pPr>
      <w:rPr>
        <w:rFonts w:hint="default"/>
        <w:lang w:val="en-US" w:eastAsia="en-US" w:bidi="ar-SA"/>
      </w:rPr>
    </w:lvl>
    <w:lvl w:ilvl="7" w:tplc="3EDAC0B4">
      <w:numFmt w:val="bullet"/>
      <w:lvlText w:val="•"/>
      <w:lvlJc w:val="left"/>
      <w:pPr>
        <w:ind w:left="6544" w:hanging="235"/>
      </w:pPr>
      <w:rPr>
        <w:rFonts w:hint="default"/>
        <w:lang w:val="en-US" w:eastAsia="en-US" w:bidi="ar-SA"/>
      </w:rPr>
    </w:lvl>
    <w:lvl w:ilvl="8" w:tplc="66B221EE">
      <w:numFmt w:val="bullet"/>
      <w:lvlText w:val="•"/>
      <w:lvlJc w:val="left"/>
      <w:pPr>
        <w:ind w:left="7458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2A7B6E7F"/>
    <w:multiLevelType w:val="hybridMultilevel"/>
    <w:tmpl w:val="A52C03FC"/>
    <w:lvl w:ilvl="0" w:tplc="305C8A20">
      <w:start w:val="1"/>
      <w:numFmt w:val="upperLetter"/>
      <w:lvlText w:val="%1."/>
      <w:lvlJc w:val="left"/>
      <w:pPr>
        <w:ind w:left="824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2F84822">
      <w:numFmt w:val="bullet"/>
      <w:lvlText w:val="•"/>
      <w:lvlJc w:val="left"/>
      <w:pPr>
        <w:ind w:left="1666" w:hanging="233"/>
      </w:pPr>
      <w:rPr>
        <w:rFonts w:hint="default"/>
        <w:lang w:val="en-US" w:eastAsia="en-US" w:bidi="ar-SA"/>
      </w:rPr>
    </w:lvl>
    <w:lvl w:ilvl="2" w:tplc="BD9A480C">
      <w:numFmt w:val="bullet"/>
      <w:lvlText w:val="•"/>
      <w:lvlJc w:val="left"/>
      <w:pPr>
        <w:ind w:left="2513" w:hanging="233"/>
      </w:pPr>
      <w:rPr>
        <w:rFonts w:hint="default"/>
        <w:lang w:val="en-US" w:eastAsia="en-US" w:bidi="ar-SA"/>
      </w:rPr>
    </w:lvl>
    <w:lvl w:ilvl="3" w:tplc="68B431B0">
      <w:numFmt w:val="bullet"/>
      <w:lvlText w:val="•"/>
      <w:lvlJc w:val="left"/>
      <w:pPr>
        <w:ind w:left="3359" w:hanging="233"/>
      </w:pPr>
      <w:rPr>
        <w:rFonts w:hint="default"/>
        <w:lang w:val="en-US" w:eastAsia="en-US" w:bidi="ar-SA"/>
      </w:rPr>
    </w:lvl>
    <w:lvl w:ilvl="4" w:tplc="A054598C">
      <w:numFmt w:val="bullet"/>
      <w:lvlText w:val="•"/>
      <w:lvlJc w:val="left"/>
      <w:pPr>
        <w:ind w:left="4206" w:hanging="233"/>
      </w:pPr>
      <w:rPr>
        <w:rFonts w:hint="default"/>
        <w:lang w:val="en-US" w:eastAsia="en-US" w:bidi="ar-SA"/>
      </w:rPr>
    </w:lvl>
    <w:lvl w:ilvl="5" w:tplc="D1123530">
      <w:numFmt w:val="bullet"/>
      <w:lvlText w:val="•"/>
      <w:lvlJc w:val="left"/>
      <w:pPr>
        <w:ind w:left="5053" w:hanging="233"/>
      </w:pPr>
      <w:rPr>
        <w:rFonts w:hint="default"/>
        <w:lang w:val="en-US" w:eastAsia="en-US" w:bidi="ar-SA"/>
      </w:rPr>
    </w:lvl>
    <w:lvl w:ilvl="6" w:tplc="E1A62274">
      <w:numFmt w:val="bullet"/>
      <w:lvlText w:val="•"/>
      <w:lvlJc w:val="left"/>
      <w:pPr>
        <w:ind w:left="5899" w:hanging="233"/>
      </w:pPr>
      <w:rPr>
        <w:rFonts w:hint="default"/>
        <w:lang w:val="en-US" w:eastAsia="en-US" w:bidi="ar-SA"/>
      </w:rPr>
    </w:lvl>
    <w:lvl w:ilvl="7" w:tplc="1D1E5CE4">
      <w:numFmt w:val="bullet"/>
      <w:lvlText w:val="•"/>
      <w:lvlJc w:val="left"/>
      <w:pPr>
        <w:ind w:left="6746" w:hanging="233"/>
      </w:pPr>
      <w:rPr>
        <w:rFonts w:hint="default"/>
        <w:lang w:val="en-US" w:eastAsia="en-US" w:bidi="ar-SA"/>
      </w:rPr>
    </w:lvl>
    <w:lvl w:ilvl="8" w:tplc="25962DB6">
      <w:numFmt w:val="bullet"/>
      <w:lvlText w:val="•"/>
      <w:lvlJc w:val="left"/>
      <w:pPr>
        <w:ind w:left="7593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4C9E1B7D"/>
    <w:multiLevelType w:val="hybridMultilevel"/>
    <w:tmpl w:val="66D222E6"/>
    <w:lvl w:ilvl="0" w:tplc="3022D4E8">
      <w:start w:val="2"/>
      <w:numFmt w:val="lowerLetter"/>
      <w:lvlText w:val="%1."/>
      <w:lvlJc w:val="left"/>
      <w:pPr>
        <w:ind w:left="1045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C6E7356">
      <w:numFmt w:val="bullet"/>
      <w:lvlText w:val="•"/>
      <w:lvlJc w:val="left"/>
      <w:pPr>
        <w:ind w:left="1864" w:hanging="221"/>
      </w:pPr>
      <w:rPr>
        <w:rFonts w:hint="default"/>
        <w:lang w:val="en-US" w:eastAsia="en-US" w:bidi="ar-SA"/>
      </w:rPr>
    </w:lvl>
    <w:lvl w:ilvl="2" w:tplc="4CBC3C96">
      <w:numFmt w:val="bullet"/>
      <w:lvlText w:val="•"/>
      <w:lvlJc w:val="left"/>
      <w:pPr>
        <w:ind w:left="2689" w:hanging="221"/>
      </w:pPr>
      <w:rPr>
        <w:rFonts w:hint="default"/>
        <w:lang w:val="en-US" w:eastAsia="en-US" w:bidi="ar-SA"/>
      </w:rPr>
    </w:lvl>
    <w:lvl w:ilvl="3" w:tplc="B680D044">
      <w:numFmt w:val="bullet"/>
      <w:lvlText w:val="•"/>
      <w:lvlJc w:val="left"/>
      <w:pPr>
        <w:ind w:left="3513" w:hanging="221"/>
      </w:pPr>
      <w:rPr>
        <w:rFonts w:hint="default"/>
        <w:lang w:val="en-US" w:eastAsia="en-US" w:bidi="ar-SA"/>
      </w:rPr>
    </w:lvl>
    <w:lvl w:ilvl="4" w:tplc="6CD2477C">
      <w:numFmt w:val="bullet"/>
      <w:lvlText w:val="•"/>
      <w:lvlJc w:val="left"/>
      <w:pPr>
        <w:ind w:left="4338" w:hanging="221"/>
      </w:pPr>
      <w:rPr>
        <w:rFonts w:hint="default"/>
        <w:lang w:val="en-US" w:eastAsia="en-US" w:bidi="ar-SA"/>
      </w:rPr>
    </w:lvl>
    <w:lvl w:ilvl="5" w:tplc="ED1626DC">
      <w:numFmt w:val="bullet"/>
      <w:lvlText w:val="•"/>
      <w:lvlJc w:val="left"/>
      <w:pPr>
        <w:ind w:left="5163" w:hanging="221"/>
      </w:pPr>
      <w:rPr>
        <w:rFonts w:hint="default"/>
        <w:lang w:val="en-US" w:eastAsia="en-US" w:bidi="ar-SA"/>
      </w:rPr>
    </w:lvl>
    <w:lvl w:ilvl="6" w:tplc="3CAE6046">
      <w:numFmt w:val="bullet"/>
      <w:lvlText w:val="•"/>
      <w:lvlJc w:val="left"/>
      <w:pPr>
        <w:ind w:left="5987" w:hanging="221"/>
      </w:pPr>
      <w:rPr>
        <w:rFonts w:hint="default"/>
        <w:lang w:val="en-US" w:eastAsia="en-US" w:bidi="ar-SA"/>
      </w:rPr>
    </w:lvl>
    <w:lvl w:ilvl="7" w:tplc="C0BC85CE">
      <w:numFmt w:val="bullet"/>
      <w:lvlText w:val="•"/>
      <w:lvlJc w:val="left"/>
      <w:pPr>
        <w:ind w:left="6812" w:hanging="221"/>
      </w:pPr>
      <w:rPr>
        <w:rFonts w:hint="default"/>
        <w:lang w:val="en-US" w:eastAsia="en-US" w:bidi="ar-SA"/>
      </w:rPr>
    </w:lvl>
    <w:lvl w:ilvl="8" w:tplc="DA5CBBF2">
      <w:numFmt w:val="bullet"/>
      <w:lvlText w:val="•"/>
      <w:lvlJc w:val="left"/>
      <w:pPr>
        <w:ind w:left="7637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632D0829"/>
    <w:multiLevelType w:val="multilevel"/>
    <w:tmpl w:val="CED08EE8"/>
    <w:lvl w:ilvl="0">
      <w:start w:val="3"/>
      <w:numFmt w:val="decimal"/>
      <w:lvlText w:val="%1"/>
      <w:lvlJc w:val="left"/>
      <w:pPr>
        <w:ind w:left="116" w:hanging="386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16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4" w:hanging="21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01" w:hanging="2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2" w:hanging="2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2" w:hanging="2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3" w:hanging="2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2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4" w:hanging="2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A1"/>
    <w:rsid w:val="00115C13"/>
    <w:rsid w:val="001930CC"/>
    <w:rsid w:val="001F18A1"/>
    <w:rsid w:val="002D77A9"/>
    <w:rsid w:val="004170BC"/>
    <w:rsid w:val="006C6DAD"/>
    <w:rsid w:val="00770A64"/>
    <w:rsid w:val="008471B1"/>
    <w:rsid w:val="008A497F"/>
    <w:rsid w:val="00932FB8"/>
    <w:rsid w:val="00992431"/>
    <w:rsid w:val="009B55D1"/>
    <w:rsid w:val="009D5A2E"/>
    <w:rsid w:val="009D689E"/>
    <w:rsid w:val="00A31674"/>
    <w:rsid w:val="00A93EF3"/>
    <w:rsid w:val="00B20A08"/>
    <w:rsid w:val="00BC3A99"/>
    <w:rsid w:val="00C42BDE"/>
    <w:rsid w:val="00C4629B"/>
    <w:rsid w:val="00CE1ABB"/>
    <w:rsid w:val="00D479AB"/>
    <w:rsid w:val="00D829B7"/>
    <w:rsid w:val="00E40CB3"/>
    <w:rsid w:val="00E47438"/>
    <w:rsid w:val="00EE2765"/>
    <w:rsid w:val="00F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E68E"/>
  <w15:docId w15:val="{D880903B-4ED8-447F-8D2F-BEAF6315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2319" w:right="2301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spacing w:before="165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32F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2FB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32F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2FB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sevda@hotmail.com</dc:creator>
  <cp:lastModifiedBy>sevda@hotmail.com</cp:lastModifiedBy>
  <cp:revision>2</cp:revision>
  <dcterms:created xsi:type="dcterms:W3CDTF">2023-09-27T13:46:00Z</dcterms:created>
  <dcterms:modified xsi:type="dcterms:W3CDTF">2023-09-27T13:46:00Z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